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/>
    <w:p>
      <w:pPr/>
      <w:r>
        <w:rPr>
          <w:rFonts w:ascii="Calibri" w:hAnsi="Calibri" w:eastAsia="Calibri" w:cs="Calibri"/>
          <w:sz w:val="22"/>
          <w:szCs w:val="22"/>
          <w:b w:val="1"/>
          <w:bCs w:val="1"/>
        </w:rPr>
        <w:t xml:space="preserve">Jednootworowa bateria stojąca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Bateria mechaniczna z elastyczną wylewką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/>
      </w:r>
    </w:p>
    <w:p/>
    <w:p>
      <w:pPr/>
      <w:r>
        <w:rPr>
          <w:rFonts w:ascii="Calibri" w:hAnsi="Calibri" w:eastAsia="Calibri" w:cs="Calibri"/>
          <w:sz w:val="22"/>
          <w:szCs w:val="22"/>
        </w:rPr>
        <w:t xml:space="preserve">Numer: </w:t>
      </w:r>
      <w:r>
        <w:rPr>
          <w:rFonts w:ascii="Calibri" w:hAnsi="Calibri" w:eastAsia="Calibri" w:cs="Calibri"/>
          <w:color w:val="0088bc"/>
          <w:sz w:val="22"/>
          <w:szCs w:val="22"/>
          <w:b w:val="1"/>
          <w:bCs w:val="1"/>
        </w:rPr>
        <w:t xml:space="preserve">2526T2</w:t>
      </w:r>
    </w:p>
    <w:p/>
    <w:p/>
    <w:p>
      <w:pPr>
        <w:spacing w:line="336" w:lineRule="auto"/>
      </w:pPr>
      <w:r>
        <w:rPr>
          <w:rFonts w:ascii="Calibri" w:hAnsi="Calibri" w:eastAsia="Calibri" w:cs="Calibri"/>
          <w:sz w:val="22"/>
          <w:szCs w:val="22"/>
          <w:u w:val="single"/>
        </w:rPr>
        <w:t xml:space="preserve">Opis do specyfikacji</w:t>
      </w:r>
    </w:p>
    <w:p/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Jednootworowa bateria stojąca z elastyczną wylewką z pamięcią kształtu, o maksymalnej wysokości H.535 mm.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Bateria mechaniczna z giętką, ruchomą i gładką wewnątrz wylewką wyposażoną w sitko higieniczne.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Optymalna krzywizna wylewki zapewnia łatwy dostęp do uchwytu: 379 mm.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Głowica ceramiczna Ø35.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Wypływ 9 l/min przy 3 barach.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Uchwyt z drążkiem.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Korpus z chromowanego mosiądzu.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Wężyki PEX W3/8" z filtrami i zaworami zwrotnymi.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Wzmocnione mocowanie.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Bateria przystosowana do intensywnego użytku w kuchni profesjonalnej.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Bateria z 30-letnią gwarancją.</w:t>
      </w:r>
    </w:p>
    <w:sectPr>
      <w:headerReference w:type="default" r:id="rId7"/>
      <w:pgSz w:orient="portrait" w:w="11905.511811023622" w:h="16837.79527559055"/>
      <w:pgMar w:top="1200" w:right="1500" w:bottom="1000" w:left="145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center"/>
    </w:pPr>
    <w:r>
      <w:pict>
        <v:shape type="#_x0000_t75" stroked="f" style="width:115pt; height:18.662280701754pt; margin-left:0pt; margin-top:0pt; mso-position-horizontal:left; mso-position-vertical:absolute; mso-position-horizontal-relative:char; mso-position-vertical-relative:line;">
          <w10:wrap type="inline"/>
          <v:imagedata r:id="rId1" o:title="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rPr>
      <w:color w:val="438fac"/>
      <w:sz w:val="36"/>
      <w:szCs w:val="36"/>
      <w:b w:val="1"/>
      <w:bCs w:val="1"/>
    </w:rPr>
  </w:style>
  <w:style w:type="paragraph" w:styleId="Heading2">
    <w:link w:val="Heading2Char"/>
    <w:name w:val="heading 2"/>
    <w:rPr>
      <w:color w:val="222222"/>
      <w:sz w:val="32"/>
      <w:szCs w:val="32"/>
      <w:b w:val="1"/>
      <w:bCs w:val="1"/>
    </w:rPr>
  </w:style>
  <w:style w:type="paragraph" w:styleId="Heading3">
    <w:link w:val="Heading3Char"/>
    <w:name w:val="heading 3"/>
    <w:rPr>
      <w:color w:val="222222"/>
      <w:sz w:val="28"/>
      <w:szCs w:val="28"/>
      <w:b w:val="0"/>
      <w:bCs w:val="0"/>
    </w:rPr>
  </w:style>
  <w:style w:type="paragraph" w:styleId="Heading4">
    <w:link w:val="Heading4Char"/>
    <w:name w:val="heading 4"/>
    <w:rPr>
      <w:color w:val="438fac"/>
      <w:sz w:val="26"/>
      <w:szCs w:val="26"/>
      <w:b w:val="1"/>
      <w:bCs w:val="1"/>
    </w:rPr>
  </w:style>
  <w:style w:type="paragraph" w:styleId="Heading5">
    <w:link w:val="Heading5Char"/>
    <w:name w:val="heading 5"/>
    <w:rPr>
      <w:color w:val="111111"/>
      <w:sz w:val="40"/>
      <w:szCs w:val="40"/>
      <w:b w:val="1"/>
      <w:bCs w:val="1"/>
    </w:rPr>
  </w:style>
  <w:style w:type="table" w:customStyle="1" w:styleId="TechSheet">
    <w:name w:val="TechSheet"/>
    <w:uiPriority w:val="99"/>
    <w:tblPr>
      <w:tblW w:w="0" w:type="auto"/>
      <w:tblLayout w:type="autofit"/>
      <w:bidiVisual w:val="0"/>
      <w:tblBorders>
        <w:top w:val="single" w:sz="0" w:color="ffffff"/>
        <w:left w:val="single" w:sz="0" w:color="ffffff"/>
        <w:right w:val="single" w:sz="0" w:color="ffffff"/>
        <w:bottom w:val="single" w:sz="1" w:color="999999"/>
      </w:tblBorders>
    </w:tblPr>
  </w:style>
  <w:style w:type="paragraph" w:customStyle="1" w:styleId="pStyle">
    <w:name w:val="pStyle"/>
    <w:basedOn w:val="Normal"/>
    <w:pPr>
      <w:spacing w:line="3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2025-05-19T16:23:42+02:00</dcterms:created>
  <dcterms:modified xsi:type="dcterms:W3CDTF">2025-05-19T16:23:42+02:00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