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Rurka zasilająca</w:t></w:r></w:p><w:p><w:pPr/><w:r><w:rPr><w:rFonts w:ascii="Calibri" w:hAnsi="Calibri" w:eastAsia="Calibri" w:cs="Calibri"/><w:sz w:val="22"/><w:szCs w:val="22"/></w:rPr><w:t xml:space="preserve">Do pisuarów zwykłych lub ze zintegrowanym syfonem</w:t></w:r></w:p><w:p><w:pPr/><w:r><w:rPr><w:rFonts w:ascii="Calibri" w:hAnsi="Calibri" w:eastAsia="Calibri" w:cs="Calibri"/><w:sz w:val="22"/><w:szCs w:val="22"/></w:rPr><w:t xml:space="preserve">W1/2" - Ø35</w:t></w:r></w:p><w:p/><w:p><w:pPr/><w:r><w:rPr><w:rFonts w:ascii="Calibri" w:hAnsi="Calibri" w:eastAsia="Calibri" w:cs="Calibri"/><w:sz w:val="22"/><w:szCs w:val="22"/></w:rPr><w:t xml:space="preserve">Numer: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Opis do specyfikacji</w:t></w:r></w:p><w:p/><w:p><w:pPr><w:spacing w:line="288" w:lineRule="auto"/></w:pPr><w:r><w:rPr><w:rFonts w:ascii="Calibri" w:hAnsi="Calibri" w:eastAsia="Calibri" w:cs="Calibri"/><w:sz w:val="22"/><w:szCs w:val="22"/></w:rPr><w:t xml:space="preserve">Rurka zasilająca do pisuarów zwykłych lub ze zintegrowanym syfonem. </w:t></w:r></w:p><w:p><w:pPr><w:spacing w:line="288" w:lineRule="auto"/></w:pPr><w:r><w:rPr><w:rFonts w:ascii="Calibri" w:hAnsi="Calibri" w:eastAsia="Calibri" w:cs="Calibri"/><w:sz w:val="22"/><w:szCs w:val="22"/></w:rPr><w:t xml:space="preserve">W1/2" Ø35. 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</w:t></w:r></w:p><w:p><w:pPr><w:spacing w:line="288" w:lineRule="auto"/></w:pPr><w:r><w:rPr><w:rFonts w:ascii="Calibri" w:hAnsi="Calibri" w:eastAsia="Calibri" w:cs="Calibri"/><w:sz w:val="22"/><w:szCs w:val="22"/></w:rPr><w:t xml:space="preserve">30 lat gwarancji.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2026-08-31T04:03:12+02:00</dcterms:created>
  <dcterms:modified xsi:type="dcterms:W3CDTF">2026-08-31T04:03:12+02:00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